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0A53299">
      <w:pPr>
        <w:rPr>
          <w:sz w:val="32"/>
          <w:szCs w:val="32"/>
        </w:rPr>
      </w:pPr>
      <w:r w:rsidR="00D02354">
        <w:drawing>
          <wp:inline wp14:editId="17F6AE1F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6848a55238141a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3052BAC" w:rsidR="4BD2621D">
        <w:rPr>
          <w:sz w:val="32"/>
          <w:szCs w:val="32"/>
        </w:rPr>
        <w:t xml:space="preserve">Law 30 </w:t>
      </w:r>
      <w:r w:rsidRPr="03052BAC" w:rsidR="4BD2621D">
        <w:rPr>
          <w:sz w:val="32"/>
          <w:szCs w:val="32"/>
        </w:rPr>
        <w:t xml:space="preserve">- </w:t>
      </w:r>
      <w:r w:rsidRPr="03052BAC" w:rsidR="73729369">
        <w:rPr>
          <w:sz w:val="32"/>
          <w:szCs w:val="32"/>
        </w:rPr>
        <w:t>LT1</w:t>
      </w:r>
      <w:r w:rsidRPr="03052BAC" w:rsidR="00A341DB">
        <w:rPr>
          <w:sz w:val="32"/>
          <w:szCs w:val="32"/>
        </w:rPr>
        <w:t xml:space="preserve"> </w:t>
      </w:r>
      <w:r w:rsidRPr="03052BAC" w:rsidR="00D02354">
        <w:rPr>
          <w:sz w:val="32"/>
          <w:szCs w:val="32"/>
        </w:rPr>
        <w:t>:</w:t>
      </w:r>
      <w:r w:rsidRPr="03052BAC" w:rsidR="00D02354">
        <w:rPr>
          <w:sz w:val="32"/>
          <w:szCs w:val="32"/>
        </w:rPr>
        <w:t xml:space="preserve"> </w:t>
      </w:r>
      <w:r w:rsidRPr="03052BAC" w:rsidR="03B826FA">
        <w:rPr>
          <w:sz w:val="32"/>
          <w:szCs w:val="32"/>
        </w:rPr>
        <w:t xml:space="preserve">                                            </w:t>
      </w:r>
      <w:r>
        <w:tab/>
      </w:r>
      <w:r>
        <w:tab/>
      </w:r>
      <w:r>
        <w:tab/>
      </w:r>
      <w:r w:rsidRPr="03052BAC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335"/>
        <w:gridCol w:w="2925"/>
        <w:gridCol w:w="4056"/>
        <w:gridCol w:w="2859"/>
        <w:gridCol w:w="2865"/>
      </w:tblGrid>
      <w:tr w:rsidRPr="00BB7355" w:rsidR="00D02354" w:rsidTr="03052BAC" w14:paraId="3504A15B" w14:textId="77777777">
        <w:tc>
          <w:tcPr>
            <w:tcW w:w="133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4056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5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865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3052BAC" w14:paraId="284D6F78" w14:textId="77777777">
        <w:trPr>
          <w:trHeight w:val="1277"/>
        </w:trPr>
        <w:tc>
          <w:tcPr>
            <w:tcW w:w="1335" w:type="dxa"/>
            <w:shd w:val="clear" w:color="auto" w:fill="D9D9D9" w:themeFill="background1" w:themeFillShade="D9"/>
            <w:tcMar/>
          </w:tcPr>
          <w:p w:rsidRPr="00340622" w:rsidR="00D02354" w:rsidP="26DD9F16" w:rsidRDefault="00D02354" w14:paraId="0DAEE958" w14:textId="31AE447E">
            <w:pPr>
              <w:pStyle w:val="Normal"/>
              <w:ind w:left="0" w:firstLine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6DD9F16" w:rsidR="3B7C12A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LT1 Examine how and why youth are treated differently in Canadian l</w:t>
            </w:r>
            <w:r w:rsidRPr="26DD9F16" w:rsidR="3236A09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aw.</w:t>
            </w:r>
          </w:p>
        </w:tc>
        <w:tc>
          <w:tcPr>
            <w:tcW w:w="2925" w:type="dxa"/>
            <w:tcMar/>
          </w:tcPr>
          <w:p w:rsidRPr="00340622" w:rsidR="00D02354" w:rsidP="023D9F5A" w:rsidRDefault="00D02354" w14:paraId="23A0173A" w14:textId="789CC2C8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023D9F5A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023D9F5A" w:rsidR="1A84751D">
              <w:rPr>
                <w:rFonts w:ascii="Calibri" w:hAnsi="Calibri" w:cs="" w:asciiTheme="minorAscii" w:hAnsiTheme="minorAscii" w:cstheme="minorBidi"/>
              </w:rPr>
              <w:t xml:space="preserve"> thoughtfully</w:t>
            </w:r>
            <w:r w:rsidRPr="023D9F5A" w:rsidR="00D02354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023D9F5A" w:rsidR="48D349EF">
              <w:rPr>
                <w:rFonts w:ascii="Calibri" w:hAnsi="Calibri" w:cs="" w:asciiTheme="minorAscii" w:hAnsiTheme="minorAscii" w:cstheme="minorBidi"/>
              </w:rPr>
              <w:t>e</w:t>
            </w:r>
            <w:r w:rsidRPr="023D9F5A" w:rsidR="48D349E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xamine how and why youth are treated differently in Canadian law.</w:t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26DD9F16" w:rsidRDefault="683C5658" w14:paraId="13B9D740" w14:textId="1144BD6B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  <w:p w:rsidR="2C543C5A" w:rsidP="26DD9F16" w:rsidRDefault="2C543C5A" w14:paraId="492F4380" w14:textId="5B9B334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6DD9F16" w:rsidR="2C543C5A">
              <w:rPr>
                <w:rFonts w:ascii="Calibri" w:hAnsi="Calibri" w:eastAsia="Calibri" w:cs="Times New Roman"/>
              </w:rPr>
              <w:t xml:space="preserve">Justify the differing ages of consent for youth, depending on the </w:t>
            </w:r>
            <w:r w:rsidRPr="26DD9F16" w:rsidR="2C543C5A">
              <w:rPr>
                <w:rFonts w:ascii="Calibri" w:hAnsi="Calibri" w:eastAsia="Calibri" w:cs="Times New Roman"/>
              </w:rPr>
              <w:t>activity.</w:t>
            </w:r>
          </w:p>
          <w:p w:rsidR="3E716228" w:rsidP="26DD9F16" w:rsidRDefault="3E716228" w14:paraId="5A720679" w14:textId="2CE84FF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26DD9F16" w:rsidR="3E716228">
              <w:rPr>
                <w:rFonts w:ascii="Calibri" w:hAnsi="Calibri" w:eastAsia="Calibri" w:cs="Times New Roman"/>
              </w:rPr>
              <w:t xml:space="preserve">Predict future changes to society’s views, which could change how youth </w:t>
            </w:r>
            <w:r w:rsidRPr="26DD9F16" w:rsidR="3E716228">
              <w:rPr>
                <w:rFonts w:ascii="Calibri" w:hAnsi="Calibri" w:eastAsia="Calibri" w:cs="Times New Roman"/>
              </w:rPr>
              <w:t xml:space="preserve">law is dealt </w:t>
            </w:r>
            <w:r w:rsidRPr="26DD9F16" w:rsidR="3E716228">
              <w:rPr>
                <w:rFonts w:ascii="Calibri" w:hAnsi="Calibri" w:eastAsia="Calibri" w:cs="Times New Roman"/>
              </w:rPr>
              <w:t>with.</w:t>
            </w:r>
          </w:p>
          <w:p w:rsidR="037CDDBE" w:rsidP="26DD9F16" w:rsidRDefault="037CDDBE" w14:paraId="12548283" w14:textId="457F2FC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3052BAC" w:rsidR="037CDDBE">
              <w:rPr>
                <w:rFonts w:ascii="Calibri" w:hAnsi="Calibri" w:eastAsia="Calibri" w:cs="Times New Roman"/>
              </w:rPr>
              <w:t xml:space="preserve">Create a scenario, giving circumstances, </w:t>
            </w:r>
            <w:r w:rsidRPr="03052BAC" w:rsidR="037CDDBE">
              <w:rPr>
                <w:rFonts w:ascii="Calibri" w:hAnsi="Calibri" w:eastAsia="Calibri" w:cs="Times New Roman"/>
              </w:rPr>
              <w:t>in which</w:t>
            </w:r>
            <w:r w:rsidRPr="03052BAC" w:rsidR="037CDDBE">
              <w:rPr>
                <w:rFonts w:ascii="Calibri" w:hAnsi="Calibri" w:eastAsia="Calibri" w:cs="Times New Roman"/>
              </w:rPr>
              <w:t xml:space="preserve"> a youth may be sentenced as an adult.</w:t>
            </w:r>
          </w:p>
          <w:p w:rsidR="0C77599C" w:rsidP="03052BAC" w:rsidRDefault="0C77599C" w14:paraId="1DC284AC" w14:textId="567D4F5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3052BAC" w:rsidR="0C77599C">
              <w:rPr>
                <w:rFonts w:ascii="Calibri" w:hAnsi="Calibri" w:eastAsia="Calibri" w:cs="Times New Roman"/>
              </w:rPr>
              <w:t xml:space="preserve">Engage in case studies and examine protections and limitations of </w:t>
            </w:r>
            <w:r w:rsidRPr="03052BAC" w:rsidR="6BC9CC34">
              <w:rPr>
                <w:rFonts w:ascii="Calibri" w:hAnsi="Calibri" w:eastAsia="Calibri" w:cs="Times New Roman"/>
              </w:rPr>
              <w:t>policies, acts, rights and principles</w:t>
            </w:r>
          </w:p>
          <w:p w:rsidR="2BD00A38" w:rsidP="26DD9F16" w:rsidRDefault="2BD00A38" w14:paraId="0BDA9C29" w14:textId="05B91752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  <w:r w:rsidRPr="26DD9F16" w:rsidR="2BD00A38">
              <w:rPr>
                <w:rFonts w:ascii="Calibri" w:hAnsi="Calibri" w:eastAsia="Calibri" w:cs="Times New Roman"/>
              </w:rPr>
              <w:t xml:space="preserve"> </w:t>
            </w: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4056" w:type="dxa"/>
            <w:shd w:val="clear" w:color="auto" w:fill="D9D9D9" w:themeFill="background1" w:themeFillShade="D9"/>
            <w:tcMar/>
          </w:tcPr>
          <w:p w:rsidR="00D02354" w:rsidP="023D9F5A" w:rsidRDefault="00D02354" w14:paraId="008626A1" w14:textId="3B8FE867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023D9F5A" w:rsidR="00D02354">
              <w:rPr>
                <w:rFonts w:ascii="Calibri" w:hAnsi="Calibri" w:cs="" w:asciiTheme="minorAscii" w:hAnsiTheme="minorAscii" w:cstheme="minorBidi"/>
              </w:rPr>
              <w:t xml:space="preserve">You can </w:t>
            </w:r>
            <w:r w:rsidRPr="023D9F5A" w:rsidR="55A648F5">
              <w:rPr>
                <w:rFonts w:ascii="Calibri" w:hAnsi="Calibri" w:cs="" w:asciiTheme="minorAscii" w:hAnsiTheme="minorAscii" w:cstheme="minorBidi"/>
              </w:rPr>
              <w:t>e</w:t>
            </w:r>
            <w:r w:rsidRPr="023D9F5A" w:rsidR="55A648F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xamine how and why youth are treated differently in Canadian law.</w:t>
            </w:r>
            <w:r>
              <w:br/>
            </w:r>
            <w:r>
              <w:br/>
            </w:r>
            <w:r w:rsidRPr="023D9F5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1A4E9A1C" w:rsidRDefault="00D02354" w14:paraId="322A8697" w14:textId="6E2E14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4E9A1C" w:rsidR="0E2FED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Analyze the fundamental rights described in the United Nations Convention on the Rights of the Child (1989) and the guiding principles of the Youth Criminal Justice Act (2003</w:t>
            </w:r>
            <w:r w:rsidRPr="1A4E9A1C" w:rsidR="0E2FEDC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R="00D02354" w:rsidP="03052BAC" w:rsidRDefault="00D02354" w14:paraId="35849048" w14:textId="075F2A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3052BAC" w:rsidR="27395A9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Describing how historical influences have guided </w:t>
            </w:r>
            <w:r w:rsidRPr="03052BAC" w:rsidR="411AB11A">
              <w:rPr>
                <w:rFonts w:ascii="Calibri" w:hAnsi="Calibri" w:eastAsia="" w:cs="" w:asciiTheme="minorAscii" w:hAnsiTheme="minorAscii" w:eastAsiaTheme="minorEastAsia" w:cstheme="minorBidi"/>
              </w:rPr>
              <w:t>the legal definition of youth, their rights and responsibilities as defined by the YCJ</w:t>
            </w:r>
            <w:r w:rsidRPr="03052BAC" w:rsidR="5BCECF89">
              <w:rPr>
                <w:rFonts w:ascii="Calibri" w:hAnsi="Calibri" w:eastAsia="" w:cs="" w:asciiTheme="minorAscii" w:hAnsiTheme="minorAscii" w:eastAsiaTheme="minorEastAsia" w:cstheme="minorBidi"/>
              </w:rPr>
              <w:t>A</w:t>
            </w:r>
            <w:r w:rsidRPr="03052BAC" w:rsidR="411AB11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, </w:t>
            </w:r>
            <w:r w:rsidRPr="03052BAC" w:rsidR="6CB596A2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and the ways youth are protected and treated differently from adults in various </w:t>
            </w:r>
            <w:proofErr w:type="gramStart"/>
            <w:r w:rsidRPr="03052BAC" w:rsidR="6CB596A2">
              <w:rPr>
                <w:rFonts w:ascii="Calibri" w:hAnsi="Calibri" w:eastAsia="" w:cs="" w:asciiTheme="minorAscii" w:hAnsiTheme="minorAscii" w:eastAsiaTheme="minorEastAsia" w:cstheme="minorBidi"/>
              </w:rPr>
              <w:t>scenarios</w:t>
            </w:r>
            <w:proofErr w:type="gramEnd"/>
          </w:p>
          <w:p w:rsidR="00D02354" w:rsidP="26DD9F16" w:rsidRDefault="00D02354" w14:paraId="01EEE4BB" w14:textId="454A0E4B">
            <w:pPr>
              <w:pStyle w:val="ListParagraph"/>
              <w:numPr>
                <w:ilvl w:val="0"/>
                <w:numId w:val="4"/>
              </w:numPr>
              <w:ind/>
              <w:rPr/>
            </w:pPr>
            <w:r w:rsidRPr="03052BAC" w:rsidR="7DDDC9DA">
              <w:rPr>
                <w:rFonts w:ascii="Calibri" w:hAnsi="Calibri" w:eastAsia="" w:cs="" w:asciiTheme="minorAscii" w:hAnsiTheme="minorAscii" w:eastAsiaTheme="minorEastAsia" w:cstheme="minorBidi"/>
              </w:rPr>
              <w:t>Analyzing the developmental differences between youth and adults</w:t>
            </w:r>
            <w:r w:rsidRPr="03052BAC" w:rsidR="0EBEC68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and the systematic factors that have </w:t>
            </w:r>
            <w:proofErr w:type="gramStart"/>
            <w:r w:rsidRPr="03052BAC" w:rsidR="33F22C6A">
              <w:rPr>
                <w:rFonts w:ascii="Calibri" w:hAnsi="Calibri" w:eastAsia="" w:cs="" w:asciiTheme="minorAscii" w:hAnsiTheme="minorAscii" w:eastAsiaTheme="minorEastAsia" w:cstheme="minorBidi"/>
              </w:rPr>
              <w:t>lead</w:t>
            </w:r>
            <w:proofErr w:type="gramEnd"/>
            <w:r w:rsidRPr="03052BAC" w:rsidR="3A497B3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to</w:t>
            </w:r>
            <w:r w:rsidRPr="03052BAC" w:rsidR="175E90C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different</w:t>
            </w:r>
            <w:r w:rsidRPr="03052BAC" w:rsidR="3A497B3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processes for </w:t>
            </w:r>
            <w:proofErr w:type="gramStart"/>
            <w:r w:rsidRPr="03052BAC" w:rsidR="3A497B33">
              <w:rPr>
                <w:rFonts w:ascii="Calibri" w:hAnsi="Calibri" w:eastAsia="" w:cs="" w:asciiTheme="minorAscii" w:hAnsiTheme="minorAscii" w:eastAsiaTheme="minorEastAsia" w:cstheme="minorBidi"/>
              </w:rPr>
              <w:t>youth, and</w:t>
            </w:r>
            <w:proofErr w:type="gramEnd"/>
            <w:r w:rsidRPr="03052BAC" w:rsidR="3A497B3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giving them extra rights</w:t>
            </w:r>
            <w:r w:rsidRPr="03052BAC" w:rsidR="1B88AA82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in the YCJA</w:t>
            </w:r>
            <w:r w:rsidRPr="03052BAC" w:rsidR="794878EC">
              <w:rPr>
                <w:rFonts w:ascii="Calibri" w:hAnsi="Calibri" w:eastAsia="" w:cs="" w:asciiTheme="minorAscii" w:hAnsiTheme="minorAscii" w:eastAsiaTheme="minorEastAsia" w:cstheme="minorBidi"/>
              </w:rPr>
              <w:t>.</w:t>
            </w:r>
          </w:p>
          <w:p w:rsidR="00D02354" w:rsidP="26DD9F16" w:rsidRDefault="00D02354" w14:paraId="130C6F22" w14:textId="3AAE4889">
            <w:pPr>
              <w:pStyle w:val="ListParagraph"/>
              <w:numPr>
                <w:ilvl w:val="0"/>
                <w:numId w:val="4"/>
              </w:numPr>
              <w:ind/>
              <w:rPr/>
            </w:pPr>
            <w:r w:rsidRPr="26DD9F16" w:rsidR="2643DC7C">
              <w:rPr>
                <w:rFonts w:ascii="Calibri" w:hAnsi="Calibri" w:eastAsia="Calibri" w:cs="Times New Roman"/>
              </w:rPr>
              <w:t>Describ</w:t>
            </w:r>
            <w:r w:rsidRPr="26DD9F16" w:rsidR="47112C65">
              <w:rPr>
                <w:rFonts w:ascii="Calibri" w:hAnsi="Calibri" w:eastAsia="Calibri" w:cs="Times New Roman"/>
              </w:rPr>
              <w:t>ing</w:t>
            </w:r>
            <w:r w:rsidRPr="26DD9F16" w:rsidR="2643DC7C">
              <w:rPr>
                <w:rFonts w:ascii="Calibri" w:hAnsi="Calibri" w:eastAsia="Calibri" w:cs="Times New Roman"/>
              </w:rPr>
              <w:t xml:space="preserve"> the extenuating factors which would lead a youth to be sentenced as an adult</w:t>
            </w:r>
            <w:r w:rsidRPr="26DD9F16" w:rsidR="3D6C3B95">
              <w:rPr>
                <w:rFonts w:ascii="Calibri" w:hAnsi="Calibri" w:eastAsia="Calibri" w:cs="Times New Roman"/>
              </w:rPr>
              <w:t>.</w:t>
            </w:r>
          </w:p>
          <w:p w:rsidR="00D02354" w:rsidP="03052BAC" w:rsidRDefault="00D02354" w14:paraId="4085FABD" w14:textId="1EFC3C31">
            <w:pPr>
              <w:pStyle w:val="ListParagraph"/>
              <w:numPr>
                <w:ilvl w:val="0"/>
                <w:numId w:val="4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3052BAC" w:rsidR="79673901">
              <w:rPr>
                <w:rFonts w:ascii="Calibri" w:hAnsi="Calibri" w:eastAsia="Calibri" w:cs="Times New Roman"/>
              </w:rPr>
              <w:t>Analyze the laws that protect, the legal rights, and the age of consent for children and youth</w:t>
            </w:r>
          </w:p>
          <w:p w:rsidR="00D02354" w:rsidP="26DD9F16" w:rsidRDefault="00D02354" w14:paraId="48F74280" w14:textId="007B992E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  <w:p w:rsidRPr="00340622" w:rsidR="00D02354" w:rsidP="26DD9F16" w:rsidRDefault="00D02354" w14:paraId="16E10604" w14:textId="66EDE6A3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6DD9F16" w:rsidR="00821357">
              <w:rPr>
                <w:rFonts w:ascii="Calibri" w:hAnsi="Calibri" w:cs="Calibri" w:asciiTheme="minorAscii" w:hAnsiTheme="minorAscii" w:cstheme="minorAscii"/>
              </w:rPr>
              <w:t>You support your e</w:t>
            </w:r>
            <w:r w:rsidRPr="26DD9F16" w:rsidR="478026FF">
              <w:rPr>
                <w:rFonts w:ascii="Calibri" w:hAnsi="Calibri" w:cs="Calibri" w:asciiTheme="minorAscii" w:hAnsiTheme="minorAscii" w:cstheme="minorAscii"/>
              </w:rPr>
              <w:t xml:space="preserve">xamination </w:t>
            </w:r>
            <w:r w:rsidRPr="26DD9F16" w:rsidR="00821357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</w:tc>
        <w:tc>
          <w:tcPr>
            <w:tcW w:w="2859" w:type="dxa"/>
            <w:tcMar/>
          </w:tcPr>
          <w:p w:rsidR="00D02354" w:rsidP="023D9F5A" w:rsidRDefault="00D02354" w14:paraId="51B08BA3" w14:textId="665CBF9A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023D9F5A" w:rsidR="00D02354">
              <w:rPr>
                <w:rFonts w:ascii="Calibri" w:hAnsi="Calibri" w:cs="" w:asciiTheme="minorAscii" w:hAnsiTheme="minorAscii" w:cstheme="minorBidi"/>
              </w:rPr>
              <w:t xml:space="preserve">You are exploring </w:t>
            </w:r>
            <w:r w:rsidRPr="023D9F5A" w:rsidR="2A7293B4">
              <w:rPr>
                <w:rFonts w:ascii="Calibri" w:hAnsi="Calibri" w:cs="" w:asciiTheme="minorAscii" w:hAnsiTheme="minorAscii" w:cstheme="minorBidi"/>
              </w:rPr>
              <w:t xml:space="preserve">and practicing </w:t>
            </w:r>
            <w:r w:rsidRPr="023D9F5A" w:rsidR="592C7670">
              <w:rPr>
                <w:rFonts w:ascii="Calibri" w:hAnsi="Calibri" w:cs="" w:asciiTheme="minorAscii" w:hAnsiTheme="minorAscii" w:cstheme="minorBidi"/>
              </w:rPr>
              <w:t>e</w:t>
            </w:r>
            <w:r w:rsidRPr="023D9F5A" w:rsidR="592C767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how and why youth are treated differently in Canadian law.</w:t>
            </w:r>
          </w:p>
          <w:p w:rsidRPr="00D02354" w:rsidR="00A341DB" w:rsidP="683C5658" w:rsidRDefault="00A341DB" w14:paraId="1C61DA5E" w14:textId="77777777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="2A7293B4" w:rsidP="683C5658" w:rsidRDefault="2A7293B4" w14:paraId="3AC113DE" w14:textId="254F12AF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:rsidR="683C5658" w:rsidP="26DD9F16" w:rsidRDefault="683C5658" w14:paraId="2BE4A645" w14:textId="27393B6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26DD9F16" w:rsidR="096D7B1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Exploring the ways historical influences have </w:t>
            </w:r>
            <w:r w:rsidRPr="26DD9F16" w:rsidR="2F806AFF">
              <w:rPr>
                <w:rFonts w:ascii="Calibri" w:hAnsi="Calibri" w:eastAsia="" w:cs="" w:asciiTheme="minorAscii" w:hAnsiTheme="minorAscii" w:eastAsiaTheme="minorEastAsia" w:cstheme="minorBidi"/>
              </w:rPr>
              <w:t>shaped how we deal with youth crime</w:t>
            </w:r>
          </w:p>
          <w:p w:rsidR="2F806AFF" w:rsidP="26DD9F16" w:rsidRDefault="2F806AFF" w14:paraId="3FBCFDD5" w14:textId="5BE1EC4D">
            <w:pPr>
              <w:pStyle w:val="ListParagraph"/>
              <w:numPr>
                <w:ilvl w:val="0"/>
                <w:numId w:val="3"/>
              </w:numPr>
              <w:rPr/>
            </w:pPr>
            <w:r w:rsidRPr="26DD9F16" w:rsidR="2F806AFF">
              <w:rPr>
                <w:rFonts w:ascii="Calibri" w:hAnsi="Calibri" w:eastAsia="" w:cs="" w:asciiTheme="minorAscii" w:hAnsiTheme="minorAscii" w:eastAsiaTheme="minorEastAsia" w:cstheme="minorBidi"/>
              </w:rPr>
              <w:t>Discussing the developmental differences between adults and youth</w:t>
            </w:r>
          </w:p>
          <w:p w:rsidR="2F806AFF" w:rsidP="26DD9F16" w:rsidRDefault="2F806AFF" w14:paraId="353AEA6C" w14:textId="154E31C8">
            <w:pPr>
              <w:pStyle w:val="ListParagraph"/>
              <w:numPr>
                <w:ilvl w:val="0"/>
                <w:numId w:val="3"/>
              </w:numPr>
              <w:rPr/>
            </w:pPr>
            <w:r w:rsidRPr="26DD9F16" w:rsidR="2F806AFF">
              <w:rPr>
                <w:rFonts w:ascii="Calibri" w:hAnsi="Calibri" w:eastAsia="" w:cs="" w:asciiTheme="minorAscii" w:hAnsiTheme="minorAscii" w:eastAsiaTheme="minorEastAsia" w:cstheme="minorBidi"/>
              </w:rPr>
              <w:t>Reflecting on why the justice system has different processes for youths in the YCJA</w:t>
            </w:r>
          </w:p>
          <w:p w:rsidR="2C62FE74" w:rsidP="26DD9F16" w:rsidRDefault="2C62FE74" w14:paraId="5DB44BDD" w14:textId="77078E20">
            <w:pPr>
              <w:pStyle w:val="ListParagraph"/>
              <w:numPr>
                <w:ilvl w:val="0"/>
                <w:numId w:val="3"/>
              </w:numPr>
              <w:rPr/>
            </w:pPr>
            <w:r w:rsidRPr="26DD9F16" w:rsidR="2C62FE74">
              <w:rPr>
                <w:rFonts w:ascii="Calibri" w:hAnsi="Calibri" w:eastAsia="Calibri" w:cs="Times New Roman"/>
              </w:rPr>
              <w:t xml:space="preserve">Identifying possible extenuating factors which would </w:t>
            </w:r>
            <w:r w:rsidRPr="26DD9F16" w:rsidR="49B08B88">
              <w:rPr>
                <w:rFonts w:ascii="Calibri" w:hAnsi="Calibri" w:eastAsia="Calibri" w:cs="Times New Roman"/>
              </w:rPr>
              <w:t>cause a youth to be sentenced as an adult</w:t>
            </w:r>
          </w:p>
          <w:p w:rsidR="49B08B88" w:rsidP="26DD9F16" w:rsidRDefault="49B08B88" w14:paraId="3BA26B7A" w14:textId="47455120">
            <w:pPr>
              <w:pStyle w:val="ListParagraph"/>
              <w:numPr>
                <w:ilvl w:val="0"/>
                <w:numId w:val="3"/>
              </w:numPr>
              <w:rPr/>
            </w:pPr>
            <w:r w:rsidRPr="26DD9F16" w:rsidR="49B08B88">
              <w:rPr>
                <w:rFonts w:ascii="Calibri" w:hAnsi="Calibri" w:eastAsia="Calibri" w:cs="Times New Roman"/>
              </w:rPr>
              <w:t>Discussing age of consent and exploring why it depends on the circumstance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  <w:tcMar/>
          </w:tcPr>
          <w:p w:rsidRPr="007603E2" w:rsidR="00D02354" w:rsidP="023D9F5A" w:rsidRDefault="55DE8EE4" w14:paraId="40B7F99E" w14:textId="06FAE61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023D9F5A" w:rsidR="00D02354">
              <w:rPr>
                <w:rFonts w:ascii="Calibri" w:hAnsi="Calibri" w:cs="" w:asciiTheme="minorAscii" w:hAnsiTheme="minorAscii" w:cstheme="minorBidi"/>
              </w:rPr>
              <w:t>You ar</w:t>
            </w:r>
            <w:r w:rsidRPr="023D9F5A" w:rsidR="1E5CA86A">
              <w:rPr>
                <w:rFonts w:ascii="Calibri" w:hAnsi="Calibri" w:cs="" w:asciiTheme="minorAscii" w:hAnsiTheme="minorAscii" w:cstheme="minorBidi"/>
              </w:rPr>
              <w:t>e having trouble</w:t>
            </w:r>
            <w:r w:rsidRPr="023D9F5A" w:rsidR="45E80946">
              <w:rPr>
                <w:rFonts w:ascii="Calibri" w:hAnsi="Calibri" w:cs="" w:asciiTheme="minorAscii" w:hAnsiTheme="minorAscii" w:cstheme="minorBidi"/>
              </w:rPr>
              <w:t xml:space="preserve"> e</w:t>
            </w:r>
            <w:r w:rsidRPr="023D9F5A" w:rsidR="45E809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how and why youth are treated differently in Canadian law.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26DD9F16" w:rsidRDefault="00D02354" w14:paraId="372AD5CE" w14:textId="1EF5A44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26DD9F16" w:rsidR="773B1375">
              <w:rPr>
                <w:rFonts w:ascii="Calibri" w:hAnsi="Calibri" w:eastAsia="" w:cs="" w:asciiTheme="minorAscii" w:hAnsiTheme="minorAscii" w:eastAsiaTheme="minorEastAsia" w:cstheme="minorBidi"/>
              </w:rPr>
              <w:t>How has the definition of youth changed?</w:t>
            </w:r>
          </w:p>
          <w:p w:rsidRPr="007603E2" w:rsidR="00D02354" w:rsidP="26DD9F16" w:rsidRDefault="00D02354" w14:paraId="5A0120DD" w14:textId="518CFC49">
            <w:pPr>
              <w:pStyle w:val="ListParagraph"/>
              <w:numPr>
                <w:ilvl w:val="0"/>
                <w:numId w:val="1"/>
              </w:numPr>
              <w:rPr/>
            </w:pPr>
            <w:r w:rsidRPr="26DD9F16" w:rsidR="773B1375">
              <w:rPr>
                <w:rFonts w:ascii="Calibri" w:hAnsi="Calibri" w:eastAsia="" w:cs="" w:asciiTheme="minorAscii" w:hAnsiTheme="minorAscii" w:eastAsiaTheme="minorEastAsia" w:cstheme="minorBidi"/>
              </w:rPr>
              <w:t>Why has society changed how we deal with youth crime?</w:t>
            </w:r>
          </w:p>
          <w:p w:rsidRPr="007603E2" w:rsidR="00D02354" w:rsidP="26DD9F16" w:rsidRDefault="00D02354" w14:paraId="3C5183ED" w14:textId="0E3E99C1">
            <w:pPr>
              <w:pStyle w:val="ListParagraph"/>
              <w:numPr>
                <w:ilvl w:val="0"/>
                <w:numId w:val="1"/>
              </w:numPr>
              <w:rPr/>
            </w:pPr>
            <w:r w:rsidRPr="26DD9F16" w:rsidR="773B1375">
              <w:rPr>
                <w:rFonts w:ascii="Calibri" w:hAnsi="Calibri" w:eastAsia="Calibri" w:cs="Times New Roman"/>
              </w:rPr>
              <w:t>How are adults and youth developmentally different?  Why does this matter in the justice system?</w:t>
            </w:r>
          </w:p>
          <w:p w:rsidRPr="007603E2" w:rsidR="00D02354" w:rsidP="26DD9F16" w:rsidRDefault="00D02354" w14:paraId="550FB299" w14:textId="7EEDEC3E">
            <w:pPr>
              <w:pStyle w:val="ListParagraph"/>
              <w:numPr>
                <w:ilvl w:val="0"/>
                <w:numId w:val="1"/>
              </w:numPr>
              <w:rPr/>
            </w:pPr>
            <w:r w:rsidRPr="26DD9F16" w:rsidR="773B1375">
              <w:rPr>
                <w:rFonts w:ascii="Calibri" w:hAnsi="Calibri" w:eastAsia="Calibri" w:cs="Times New Roman"/>
              </w:rPr>
              <w:t>How is the YCJA different?</w:t>
            </w:r>
          </w:p>
          <w:p w:rsidRPr="007603E2" w:rsidR="00D02354" w:rsidP="26DD9F16" w:rsidRDefault="00D02354" w14:paraId="42D3C2ED" w14:textId="0684076C">
            <w:pPr>
              <w:pStyle w:val="ListParagraph"/>
              <w:numPr>
                <w:ilvl w:val="0"/>
                <w:numId w:val="1"/>
              </w:numPr>
              <w:rPr/>
            </w:pPr>
            <w:r w:rsidRPr="26DD9F16" w:rsidR="773B1375">
              <w:rPr>
                <w:rFonts w:ascii="Calibri" w:hAnsi="Calibri" w:eastAsia="Calibri" w:cs="Times New Roman"/>
              </w:rPr>
              <w:t>What circumstances would lead to a youth being sentenced as an adult?</w:t>
            </w:r>
          </w:p>
          <w:p w:rsidRPr="007603E2" w:rsidR="00D02354" w:rsidP="26DD9F16" w:rsidRDefault="00D02354" w14:paraId="310F055C" w14:textId="57B5661C">
            <w:pPr>
              <w:pStyle w:val="ListParagraph"/>
              <w:numPr>
                <w:ilvl w:val="0"/>
                <w:numId w:val="1"/>
              </w:numPr>
              <w:rPr/>
            </w:pPr>
            <w:r w:rsidRPr="26DD9F16" w:rsidR="773B1375">
              <w:rPr>
                <w:rFonts w:ascii="Calibri" w:hAnsi="Calibri" w:eastAsia="Calibri" w:cs="Times New Roman"/>
              </w:rPr>
              <w:t>What is consent?  Why is this topic dependent on age and type of activity?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A15A2"/>
    <w:rsid w:val="00124AFE"/>
    <w:rsid w:val="001B351C"/>
    <w:rsid w:val="001DD7FB"/>
    <w:rsid w:val="00251672"/>
    <w:rsid w:val="00362610"/>
    <w:rsid w:val="003C4585"/>
    <w:rsid w:val="005D6246"/>
    <w:rsid w:val="00684224"/>
    <w:rsid w:val="00821357"/>
    <w:rsid w:val="00834AD1"/>
    <w:rsid w:val="00A341DB"/>
    <w:rsid w:val="00B47782"/>
    <w:rsid w:val="00C90FA5"/>
    <w:rsid w:val="00D02354"/>
    <w:rsid w:val="00D07982"/>
    <w:rsid w:val="0220B23F"/>
    <w:rsid w:val="023D9F5A"/>
    <w:rsid w:val="03052BAC"/>
    <w:rsid w:val="037CDDBE"/>
    <w:rsid w:val="03B826FA"/>
    <w:rsid w:val="03CC8895"/>
    <w:rsid w:val="05462F7C"/>
    <w:rsid w:val="0843D997"/>
    <w:rsid w:val="096D7B1A"/>
    <w:rsid w:val="0A129BC7"/>
    <w:rsid w:val="0C4C5A5E"/>
    <w:rsid w:val="0C77599C"/>
    <w:rsid w:val="0CFE225D"/>
    <w:rsid w:val="0E2FEDCD"/>
    <w:rsid w:val="0EAE3F94"/>
    <w:rsid w:val="0EBEC68F"/>
    <w:rsid w:val="0EE60CEA"/>
    <w:rsid w:val="112BE661"/>
    <w:rsid w:val="120A0A5D"/>
    <w:rsid w:val="1586F2E8"/>
    <w:rsid w:val="15B92F36"/>
    <w:rsid w:val="175E90CC"/>
    <w:rsid w:val="1787F166"/>
    <w:rsid w:val="1844C67B"/>
    <w:rsid w:val="1A4E9A1C"/>
    <w:rsid w:val="1A84751D"/>
    <w:rsid w:val="1B88AA82"/>
    <w:rsid w:val="1CDD95B2"/>
    <w:rsid w:val="1D580E26"/>
    <w:rsid w:val="1E5CA86A"/>
    <w:rsid w:val="1ED7528E"/>
    <w:rsid w:val="1F0F8964"/>
    <w:rsid w:val="21A8646D"/>
    <w:rsid w:val="220EF350"/>
    <w:rsid w:val="258365B3"/>
    <w:rsid w:val="262E792F"/>
    <w:rsid w:val="2643DC7C"/>
    <w:rsid w:val="26DD9F16"/>
    <w:rsid w:val="271F3614"/>
    <w:rsid w:val="27395A99"/>
    <w:rsid w:val="27D624D2"/>
    <w:rsid w:val="287E34D4"/>
    <w:rsid w:val="2A7293B4"/>
    <w:rsid w:val="2AB0E56E"/>
    <w:rsid w:val="2BD00A38"/>
    <w:rsid w:val="2C543C5A"/>
    <w:rsid w:val="2C62FE74"/>
    <w:rsid w:val="2F806AFF"/>
    <w:rsid w:val="30E6551E"/>
    <w:rsid w:val="320BEEBD"/>
    <w:rsid w:val="3236A09C"/>
    <w:rsid w:val="33F22C6A"/>
    <w:rsid w:val="35BE0934"/>
    <w:rsid w:val="394ED479"/>
    <w:rsid w:val="3A497B33"/>
    <w:rsid w:val="3B486571"/>
    <w:rsid w:val="3B7C12A0"/>
    <w:rsid w:val="3D6C3B95"/>
    <w:rsid w:val="3E716228"/>
    <w:rsid w:val="3EA5CFF8"/>
    <w:rsid w:val="3ED24090"/>
    <w:rsid w:val="411AB11A"/>
    <w:rsid w:val="43A5B1B3"/>
    <w:rsid w:val="44B35A88"/>
    <w:rsid w:val="45E80946"/>
    <w:rsid w:val="464D763C"/>
    <w:rsid w:val="47112C65"/>
    <w:rsid w:val="478026FF"/>
    <w:rsid w:val="48D283F9"/>
    <w:rsid w:val="48D349EF"/>
    <w:rsid w:val="49694281"/>
    <w:rsid w:val="49B08B88"/>
    <w:rsid w:val="4B28D4E5"/>
    <w:rsid w:val="4B600839"/>
    <w:rsid w:val="4BD2621D"/>
    <w:rsid w:val="4BF03B2B"/>
    <w:rsid w:val="4E6075A7"/>
    <w:rsid w:val="4FCCE4B4"/>
    <w:rsid w:val="5313C80F"/>
    <w:rsid w:val="5451551C"/>
    <w:rsid w:val="54E35A7A"/>
    <w:rsid w:val="5540B5C4"/>
    <w:rsid w:val="55A648F5"/>
    <w:rsid w:val="55BB8C98"/>
    <w:rsid w:val="55DE8EE4"/>
    <w:rsid w:val="573E349C"/>
    <w:rsid w:val="57575CF9"/>
    <w:rsid w:val="575C114B"/>
    <w:rsid w:val="58AF655B"/>
    <w:rsid w:val="592C7670"/>
    <w:rsid w:val="59A3284E"/>
    <w:rsid w:val="5ACED7AF"/>
    <w:rsid w:val="5BCECF89"/>
    <w:rsid w:val="5CC1A0B3"/>
    <w:rsid w:val="60C9B9D9"/>
    <w:rsid w:val="64943BBB"/>
    <w:rsid w:val="68115B90"/>
    <w:rsid w:val="683C5658"/>
    <w:rsid w:val="6863F270"/>
    <w:rsid w:val="68D7F792"/>
    <w:rsid w:val="6BC9CC34"/>
    <w:rsid w:val="6CB596A2"/>
    <w:rsid w:val="6DE5FCC6"/>
    <w:rsid w:val="73729369"/>
    <w:rsid w:val="743C48BE"/>
    <w:rsid w:val="75842412"/>
    <w:rsid w:val="761D5C6D"/>
    <w:rsid w:val="7733C192"/>
    <w:rsid w:val="773B1375"/>
    <w:rsid w:val="7796E335"/>
    <w:rsid w:val="7942C100"/>
    <w:rsid w:val="794878EC"/>
    <w:rsid w:val="79673901"/>
    <w:rsid w:val="7AA4856A"/>
    <w:rsid w:val="7B615A7F"/>
    <w:rsid w:val="7DDC262C"/>
    <w:rsid w:val="7DDDC9DA"/>
    <w:rsid w:val="7E391688"/>
    <w:rsid w:val="7E592F51"/>
    <w:rsid w:val="7ED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png" Id="R86848a55238141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187353-98ce-433e-970a-bcb52e2116d1"/>
    <ds:schemaRef ds:uri="http://purl.org/dc/dcmitype/"/>
    <ds:schemaRef ds:uri="http://purl.org/dc/terms/"/>
    <ds:schemaRef ds:uri="2cddf23b-985e-48d9-913a-44787a487f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85107-894D-45D3-91CE-1A5897AC1A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6</cp:revision>
  <dcterms:created xsi:type="dcterms:W3CDTF">2021-01-04T17:50:00Z</dcterms:created>
  <dcterms:modified xsi:type="dcterms:W3CDTF">2021-04-22T22:13:17Z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